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7E" w:rsidRPr="0023147E" w:rsidRDefault="0023147E" w:rsidP="00231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47E">
        <w:rPr>
          <w:rFonts w:ascii="Times New Roman" w:hAnsi="Times New Roman" w:cs="Times New Roman"/>
          <w:sz w:val="28"/>
          <w:szCs w:val="28"/>
        </w:rPr>
        <w:t>Федеральным законом от 18.12.2018 № 468-ФЗ дополнены требования к букмекерским конторам, тотализаторам, пунктам приема ставок букмекерских контор и тотализаторов, установленные Федеральным законом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 Букмекерским конторам и тотализаторам запрещено заключать пари на детско-юношеские спортивные соревнования.</w:t>
      </w:r>
    </w:p>
    <w:p w:rsidR="0023147E" w:rsidRPr="0023147E" w:rsidRDefault="0023147E" w:rsidP="00231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147E">
        <w:rPr>
          <w:rFonts w:ascii="Times New Roman" w:hAnsi="Times New Roman" w:cs="Times New Roman"/>
          <w:sz w:val="28"/>
          <w:szCs w:val="28"/>
        </w:rPr>
        <w:t>Указанным Федеральным законом также установлено, что организаторы азартных игр в букмекерских конторах и тотализаторах обязаны информировать о выигрышах, выплаченных или подлежащих выплате по результатам пари, заключенных на официальные спортивные соревнования, завершившиеся с наименее вероятным результатом или исходом, в том числе, профессиональную спортивную лигу, организующую соответствующие официальные спортивные соревнования.</w:t>
      </w:r>
    </w:p>
    <w:p w:rsidR="001E1B8B" w:rsidRPr="0023147E" w:rsidRDefault="0023147E" w:rsidP="00231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47E">
        <w:rPr>
          <w:rFonts w:ascii="Times New Roman" w:hAnsi="Times New Roman" w:cs="Times New Roman"/>
          <w:sz w:val="28"/>
          <w:szCs w:val="28"/>
        </w:rPr>
        <w:t>Федеральный закон вступил в силу 18.12.2018.</w:t>
      </w:r>
    </w:p>
    <w:sectPr w:rsidR="001E1B8B" w:rsidRPr="00231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F8"/>
    <w:rsid w:val="001E1B8B"/>
    <w:rsid w:val="0023147E"/>
    <w:rsid w:val="008C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2019-01-27T18:33:00Z</dcterms:created>
  <dcterms:modified xsi:type="dcterms:W3CDTF">2019-01-27T18:34:00Z</dcterms:modified>
</cp:coreProperties>
</file>